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B829E" w14:textId="77777777" w:rsidR="007710EE" w:rsidRDefault="007710EE" w:rsidP="002425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9D6CC9" w14:textId="77777777" w:rsidR="00242500" w:rsidRPr="00242500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>Всемирный конгресс татар</w:t>
      </w:r>
    </w:p>
    <w:p w14:paraId="2C634438" w14:textId="77777777" w:rsidR="00242500" w:rsidRPr="00242500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>Министерство культуры и туризма Пензенской области</w:t>
      </w:r>
    </w:p>
    <w:p w14:paraId="773CF314" w14:textId="77777777" w:rsidR="00242500" w:rsidRPr="00242500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>Министерство образования Пензенской области</w:t>
      </w:r>
    </w:p>
    <w:p w14:paraId="78464531" w14:textId="77777777" w:rsidR="00242500" w:rsidRPr="00242500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>Региональная общественная организация «Татарская национально-культурная автономия Пензенской области»</w:t>
      </w:r>
    </w:p>
    <w:p w14:paraId="000D0C61" w14:textId="77777777" w:rsidR="00743287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Региональная общественная организация «Общество татарских краеведов» Республики Татарстан </w:t>
      </w:r>
    </w:p>
    <w:p w14:paraId="241D2E3E" w14:textId="0E83C83C" w:rsidR="006A710F" w:rsidRDefault="006A710F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00CD7">
        <w:rPr>
          <w:rFonts w:ascii="Times New Roman" w:hAnsi="Times New Roman" w:cs="Times New Roman"/>
          <w:b/>
          <w:color w:val="333333"/>
          <w:sz w:val="24"/>
          <w:szCs w:val="24"/>
        </w:rPr>
        <w:t>Региональная общественная организация краеведов Пензенской области</w:t>
      </w:r>
    </w:p>
    <w:p w14:paraId="3AD95D9D" w14:textId="52CF917B" w:rsidR="00242500" w:rsidRPr="00242500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>Пензенский государственный университет</w:t>
      </w:r>
    </w:p>
    <w:p w14:paraId="0F4E958F" w14:textId="7000BC25" w:rsidR="007710EE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  <w:r w:rsidRPr="00242500">
        <w:rPr>
          <w:rFonts w:ascii="Times New Roman" w:hAnsi="Times New Roman" w:cs="Times New Roman"/>
          <w:b/>
          <w:color w:val="333333"/>
          <w:sz w:val="24"/>
          <w:szCs w:val="24"/>
        </w:rPr>
        <w:t>Пензенский государственный аграрный университет</w:t>
      </w:r>
    </w:p>
    <w:p w14:paraId="673EDBB0" w14:textId="77777777" w:rsidR="00242500" w:rsidRDefault="00242500" w:rsidP="00242500">
      <w:pPr>
        <w:spacing w:after="0" w:line="240" w:lineRule="auto"/>
        <w:jc w:val="center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14:paraId="54CC3E3A" w14:textId="77777777" w:rsidR="007710EE" w:rsidRDefault="005D54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Уважаемые коллеги!</w:t>
      </w:r>
    </w:p>
    <w:p w14:paraId="3A7C2883" w14:textId="77777777" w:rsidR="007710EE" w:rsidRDefault="007710E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</w:p>
    <w:p w14:paraId="482B0394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Приглашаем вас принять участие в Международной  научно-практической конференции </w:t>
      </w:r>
      <w:r>
        <w:rPr>
          <w:rFonts w:ascii="Times New Roman" w:hAnsi="Times New Roman" w:cs="Times New Roman"/>
          <w:b/>
          <w:sz w:val="24"/>
          <w:szCs w:val="24"/>
        </w:rPr>
        <w:t>«Языки культуры в контексте исторического наследия: к 100-летию со дня рождения Э. Р. Тенишева»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уроженца города Пензы, организатора советской и российской тюркологической школы, доктора филологических наук, профессора, члена-корреспондента АН СССР. </w:t>
      </w:r>
    </w:p>
    <w:p w14:paraId="35352460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Конференция проводится при поддержке Правительства Пензенской области.</w:t>
      </w:r>
    </w:p>
    <w:p w14:paraId="52C14806" w14:textId="77777777" w:rsidR="007710EE" w:rsidRDefault="005D546E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конференции: 21-23 апреля 2021 года.</w:t>
      </w:r>
    </w:p>
    <w:p w14:paraId="5BF4DD27" w14:textId="77777777" w:rsidR="007710EE" w:rsidRDefault="005D546E">
      <w:pPr>
        <w:spacing w:after="0"/>
        <w:ind w:firstLine="709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 конференции: Пензенская областная библиотека имени                М. Ю. Лермонтова (440066, г. Пенза, проспект Строителей, 168А). 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5BD50C3D" w14:textId="77777777" w:rsidR="007710EE" w:rsidRDefault="005D546E">
      <w:pPr>
        <w:spacing w:after="0"/>
        <w:ind w:right="-1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>
        <w:rPr>
          <w:rFonts w:ascii="Times New Roman" w:hAnsi="Times New Roman" w:cs="Times New Roman"/>
          <w:sz w:val="24"/>
          <w:szCs w:val="24"/>
        </w:rPr>
        <w:t xml:space="preserve"> конференции: очно-заочная.  </w:t>
      </w:r>
    </w:p>
    <w:p w14:paraId="17436FA8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участию приглашаются</w:t>
      </w:r>
      <w:r>
        <w:rPr>
          <w:rFonts w:ascii="Times New Roman" w:hAnsi="Times New Roman" w:cs="Times New Roman"/>
          <w:sz w:val="24"/>
          <w:szCs w:val="24"/>
        </w:rPr>
        <w:t xml:space="preserve"> учёные и специалисты – лингвисты, философы, историки, археологи, этнографы, искусствоведы, культурологи, экологи, экономисты, демографы, краеведы; а также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предприниматели, представители туристических организаций и СМИ, работники музеев, заповедников и органов культуры, преподаватели вузов и СПО, </w:t>
      </w:r>
      <w:r>
        <w:rPr>
          <w:rFonts w:ascii="Times New Roman" w:hAnsi="Times New Roman" w:cs="Times New Roman"/>
          <w:sz w:val="24"/>
          <w:szCs w:val="24"/>
        </w:rPr>
        <w:t xml:space="preserve">аспиранты,  магистранты,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учителя школ, гимназий, активисты общественных, ветеранских и молодёжных организаций. </w:t>
      </w:r>
    </w:p>
    <w:p w14:paraId="111F3E4D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Все участники получат сертификаты.</w:t>
      </w:r>
    </w:p>
    <w:p w14:paraId="76A5C146" w14:textId="77777777" w:rsidR="007710EE" w:rsidRDefault="005D546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Для зарубежных участников предусмотрена возможность выступления с докладом в режиме видеоконференцсвязи.</w:t>
      </w:r>
    </w:p>
    <w:p w14:paraId="4FF48833" w14:textId="77777777" w:rsidR="007710EE" w:rsidRDefault="007710E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319EA69" w14:textId="77777777" w:rsidR="007710EE" w:rsidRDefault="005D546E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Направления работы конференции</w:t>
      </w:r>
    </w:p>
    <w:p w14:paraId="4442AED6" w14:textId="77777777" w:rsidR="007710EE" w:rsidRDefault="007710EE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3A28C6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Жизнь и деятельность профессора Э. Р. Тенишева – выдающегося советского и российского тюрколога, татарского общественного деятеля.</w:t>
      </w:r>
    </w:p>
    <w:p w14:paraId="4B3B1663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Философия и психология тюркского мира.</w:t>
      </w:r>
    </w:p>
    <w:p w14:paraId="34D6A15E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Выдающиеся татарские деятели науки, культуры, истории Поволжья.</w:t>
      </w:r>
    </w:p>
    <w:p w14:paraId="28F95EFA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Преподавание родного языка и родной литературы в вузе и в школе.</w:t>
      </w:r>
    </w:p>
    <w:p w14:paraId="01BD6FC5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Этногенез народов Поволжья.</w:t>
      </w:r>
    </w:p>
    <w:p w14:paraId="5B758EF7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6. </w:t>
      </w:r>
      <w:r w:rsidRPr="006A710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Тюркские, славянские и финно-угорские народы в историческом измерении.</w:t>
      </w:r>
    </w:p>
    <w:p w14:paraId="47FA6EA0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7. Татарское краеведение Окско-Сурского междуречья.</w:t>
      </w:r>
    </w:p>
    <w:p w14:paraId="6D72D93F" w14:textId="77777777" w:rsidR="007710EE" w:rsidRDefault="00771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A054005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рамках  конференции состоятся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мастер-классы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675DCA7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 Роль краеведческих изданий Пензенской области в воспитании патриотизма и толерантности у молодого поколения.</w:t>
      </w:r>
    </w:p>
    <w:p w14:paraId="529ECE87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Изучение жизни и деятельности выдающихся земляков (на примере Э. Р. Тенишева).</w:t>
      </w:r>
    </w:p>
    <w:p w14:paraId="31660568" w14:textId="77777777" w:rsidR="007710EE" w:rsidRDefault="005D546E">
      <w:pPr>
        <w:spacing w:after="0"/>
        <w:ind w:firstLine="709"/>
        <w:jc w:val="both"/>
        <w:rPr>
          <w:rFonts w:ascii="Times New Roman" w:hAnsi="Times New Roman" w:cs="Times New Roman"/>
          <w:b/>
          <w:bCs/>
          <w:color w:val="333333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рамках работы конференции планируется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экскурсия в </w:t>
      </w:r>
      <w:r>
        <w:rPr>
          <w:rFonts w:ascii="Times New Roman" w:hAnsi="Times New Roman" w:cs="Times New Roman"/>
          <w:b/>
          <w:bCs/>
          <w:color w:val="333333"/>
          <w:shd w:val="clear" w:color="auto" w:fill="FFFFFF"/>
        </w:rPr>
        <w:t>Государственный Лермонтовский музей-заповедник Тарханы.</w:t>
      </w:r>
    </w:p>
    <w:p w14:paraId="31EA43FE" w14:textId="77777777" w:rsidR="007710EE" w:rsidRDefault="007710E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3F3F9E" w14:textId="77777777" w:rsidR="007710EE" w:rsidRDefault="005D546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Условия участия в конференции</w:t>
      </w:r>
    </w:p>
    <w:p w14:paraId="2C7849CC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конференции необходимо направить в Оргкомитет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заявку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текст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статьи  (форма заявки в Приложении).</w:t>
      </w:r>
    </w:p>
    <w:p w14:paraId="1DB3CFD6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hyperlink r:id="rId6" w:history="1">
        <w:r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tenishev</w:t>
        </w:r>
        <w:r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100@</w:t>
        </w:r>
        <w:r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r>
          <w:rPr>
            <w:rStyle w:val="a7"/>
            <w:rFonts w:ascii="Times New Roman" w:eastAsia="Times New Roman" w:hAnsi="Times New Roman" w:cs="Times New Roman"/>
            <w:sz w:val="24"/>
            <w:szCs w:val="24"/>
          </w:rPr>
          <w:t>.</w:t>
        </w:r>
        <w:r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</w:p>
    <w:p w14:paraId="1638FC1E" w14:textId="0823ADF2" w:rsidR="007710EE" w:rsidRDefault="005D54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Координатор конференции: </w:t>
      </w:r>
      <w:r>
        <w:rPr>
          <w:rFonts w:ascii="Times New Roman" w:hAnsi="Times New Roman" w:cs="Times New Roman"/>
          <w:b/>
          <w:sz w:val="24"/>
          <w:szCs w:val="24"/>
        </w:rPr>
        <w:t>Мухамеджанова Винера Фатиховна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начальник управления воспитательной и социальной работы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Пензенского государственного университета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заместитель председателя РОО «ТНКА Пензенской области», к. псих. н., доцент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(контактный телефон: +79</w:t>
      </w:r>
      <w:r w:rsidR="003D2E54">
        <w:rPr>
          <w:rFonts w:ascii="Times New Roman" w:hAnsi="Times New Roman" w:cs="Times New Roman"/>
          <w:b/>
          <w:sz w:val="24"/>
          <w:szCs w:val="24"/>
        </w:rPr>
        <w:t>374188588</w:t>
      </w:r>
      <w:r>
        <w:rPr>
          <w:rFonts w:ascii="Times New Roman" w:hAnsi="Times New Roman" w:cs="Times New Roman"/>
          <w:b/>
          <w:sz w:val="24"/>
          <w:szCs w:val="24"/>
        </w:rPr>
        <w:t>).</w:t>
      </w:r>
    </w:p>
    <w:p w14:paraId="232CC74B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 подачи заявок на участие в конференции обращаться к ответственному секретарю:</w:t>
      </w:r>
      <w:r>
        <w:rPr>
          <w:rFonts w:ascii="Times New Roman" w:hAnsi="Times New Roman" w:cs="Times New Roman"/>
          <w:b/>
          <w:sz w:val="24"/>
          <w:szCs w:val="24"/>
        </w:rPr>
        <w:t xml:space="preserve"> Самочкиной Гульназ Хуснулловне (контактный телефон: +79875016926 ).</w:t>
      </w:r>
    </w:p>
    <w:p w14:paraId="07E64B29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Публикация материалов осуществляется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бесплатно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8DE1F3D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Style w:val="a6"/>
          <w:rFonts w:ascii="Times New Roman" w:hAnsi="Times New Roman" w:cs="Times New Roman"/>
          <w:b w:val="0"/>
          <w:sz w:val="24"/>
          <w:szCs w:val="24"/>
          <w:shd w:val="clear" w:color="auto" w:fill="FFFFFF"/>
        </w:rPr>
        <w:t>Материалы конференции, оформленные в соответствии с требованиями,  пройдут государственную регистрацию и будут внесены в базу данных РИНЦ.</w:t>
      </w:r>
    </w:p>
    <w:p w14:paraId="6C613B9A" w14:textId="77777777" w:rsidR="007710EE" w:rsidRDefault="005D546E">
      <w:pPr>
        <w:spacing w:after="0"/>
        <w:ind w:firstLine="709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Проживание в гостинице, питание и проезд участники конференции оплачивают самостоятельно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93877FB" w14:textId="77777777" w:rsidR="007710EE" w:rsidRDefault="007710EE">
      <w:pPr>
        <w:spacing w:after="0"/>
        <w:ind w:firstLine="709"/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14:paraId="365FCDE6" w14:textId="77777777" w:rsidR="007710EE" w:rsidRDefault="005D546E">
      <w:pPr>
        <w:spacing w:after="0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Требования к оформлению материалов</w:t>
      </w:r>
    </w:p>
    <w:p w14:paraId="146AB1BF" w14:textId="77777777" w:rsidR="007710EE" w:rsidRDefault="007710EE">
      <w:pPr>
        <w:spacing w:after="0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31A0E9" w14:textId="77777777" w:rsidR="007710EE" w:rsidRPr="00242500" w:rsidRDefault="005D546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1.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татья на русском или татарском языках представляется не позднее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15 февраля 2021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электронному адресу: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hyperlink r:id="rId7" w:history="1">
        <w:r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tenishev</w:t>
        </w:r>
        <w:r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</w:rPr>
          <w:t>100@</w:t>
        </w:r>
        <w:r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yandex</w:t>
        </w:r>
        <w:r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</w:rPr>
          <w:t>.</w:t>
        </w:r>
        <w:r>
          <w:rPr>
            <w:rStyle w:val="a7"/>
            <w:rFonts w:ascii="Times New Roman" w:eastAsia="Times New Roman" w:hAnsi="Times New Roman" w:cs="Times New Roman"/>
            <w:b/>
            <w:bCs/>
            <w:sz w:val="24"/>
            <w:szCs w:val="24"/>
            <w:lang w:val="en-US"/>
          </w:rPr>
          <w:t>ru</w:t>
        </w:r>
      </w:hyperlink>
    </w:p>
    <w:p w14:paraId="76F6F125" w14:textId="77777777" w:rsidR="007710EE" w:rsidRDefault="005D546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Объём статьи не должен превышать 6 страниц.</w:t>
      </w:r>
    </w:p>
    <w:p w14:paraId="7A8E04DC" w14:textId="77777777" w:rsidR="007710EE" w:rsidRDefault="005D546E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3. Все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оля – 2 см. Без нумерации страниц. </w:t>
      </w:r>
    </w:p>
    <w:p w14:paraId="355D65D5" w14:textId="77777777" w:rsidR="007710EE" w:rsidRDefault="005D546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верхнем правом углу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жирным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шрифтом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Times</w:t>
      </w:r>
      <w:r w:rsidRPr="00242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New</w:t>
      </w:r>
      <w:r w:rsidRPr="00242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Roman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16 пт) – фамилия и инициалы автора, место работы, город, страна. Далее по центру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жирным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шрифтом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Times</w:t>
      </w:r>
      <w:r w:rsidRPr="00242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New</w:t>
      </w:r>
      <w:r w:rsidRPr="0024250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Roman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16 пт) прописными буквами название статьи.</w:t>
      </w:r>
    </w:p>
    <w:p w14:paraId="5B18643C" w14:textId="77777777" w:rsidR="007710EE" w:rsidRDefault="005D546E">
      <w:pPr>
        <w:pStyle w:val="a5"/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>
        <w:rPr>
          <w:rFonts w:ascii="Times New Roman" w:eastAsia="Times New Roman" w:hAnsi="Times New Roman"/>
          <w:sz w:val="24"/>
          <w:szCs w:val="24"/>
        </w:rPr>
        <w:t xml:space="preserve"> 5. Основной текст статьи набирается шрифтом Times New Roman 14 пт. Абзацный отступ –  1,25 см. Междустрочный интервал полуторный. Текст выравнивается по ширине. Просим  </w:t>
      </w:r>
      <w:r>
        <w:rPr>
          <w:rFonts w:ascii="Times New Roman" w:eastAsia="Times New Roman" w:hAnsi="Times New Roman"/>
          <w:b/>
          <w:bCs/>
          <w:sz w:val="24"/>
          <w:szCs w:val="24"/>
        </w:rPr>
        <w:t>не    использовать переносы.</w:t>
      </w:r>
    </w:p>
    <w:p w14:paraId="51CA330E" w14:textId="77777777" w:rsidR="007710EE" w:rsidRDefault="005D546E">
      <w:pPr>
        <w:pStyle w:val="a5"/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6. Ссылки оформляются в виде квадратных скобок, в которых указывается порядковый номер цитируемого издания из списка использованной литературы и номер страницы. Если даётся ссылка на архив, в ней указывается порядковый номер цитируемого издания из списка использованной литературы, номер дела и номер листа.</w:t>
      </w:r>
    </w:p>
    <w:p w14:paraId="55157115" w14:textId="77777777" w:rsidR="007710EE" w:rsidRDefault="005D546E">
      <w:pPr>
        <w:pStyle w:val="a5"/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7. Список использованных источников и литературы приводится в конце статьи в алфавитном порядке шрифтом Times New Roman 13 пт.</w:t>
      </w:r>
    </w:p>
    <w:p w14:paraId="32A01A08" w14:textId="77777777" w:rsidR="007710EE" w:rsidRDefault="005D546E">
      <w:pPr>
        <w:pStyle w:val="a5"/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8. Статья сопровождается аннотацией ( до 50 слов) и ключевыми словами (не более 10) на русском языке.</w:t>
      </w:r>
    </w:p>
    <w:p w14:paraId="431371DC" w14:textId="77777777" w:rsidR="007710EE" w:rsidRDefault="005D546E">
      <w:pPr>
        <w:pStyle w:val="a5"/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9. Фамилия и инициалы автора, название статьи, аннотация и ключевые слова на английском языке помещаются в конце статьи.</w:t>
      </w:r>
    </w:p>
    <w:p w14:paraId="5C03CD4D" w14:textId="77777777" w:rsidR="007710EE" w:rsidRDefault="005D546E">
      <w:pPr>
        <w:pStyle w:val="a5"/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10. Редакционный совет конференции оставляет за собой право отклонять заявки, не соответствующие тематике конференции.</w:t>
      </w:r>
    </w:p>
    <w:p w14:paraId="18E7EEA6" w14:textId="77777777" w:rsidR="007710EE" w:rsidRDefault="007710EE">
      <w:pPr>
        <w:pStyle w:val="a5"/>
        <w:rPr>
          <w:rFonts w:ascii="Times New Roman" w:eastAsia="Times New Roman" w:hAnsi="Times New Roman"/>
          <w:sz w:val="24"/>
          <w:szCs w:val="24"/>
        </w:rPr>
      </w:pPr>
    </w:p>
    <w:p w14:paraId="14BB0A75" w14:textId="77777777" w:rsidR="007710EE" w:rsidRDefault="005D546E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                       Образец оформления статьи</w:t>
      </w:r>
    </w:p>
    <w:p w14:paraId="668CEE2A" w14:textId="77777777" w:rsidR="007710EE" w:rsidRDefault="005D546E">
      <w:pPr>
        <w:spacing w:after="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aps/>
          <w:color w:val="FF0000"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4"/>
        </w:rPr>
        <w:t xml:space="preserve">                                       а. а. </w:t>
      </w:r>
      <w:r>
        <w:rPr>
          <w:rFonts w:ascii="Times New Roman" w:eastAsia="Times New Roman" w:hAnsi="Times New Roman" w:cs="Times New Roman"/>
          <w:b/>
          <w:bCs/>
          <w:i/>
          <w:iCs/>
          <w:spacing w:val="4"/>
          <w:sz w:val="24"/>
          <w:szCs w:val="24"/>
        </w:rPr>
        <w:t>Бурханов</w:t>
      </w:r>
      <w:r>
        <w:rPr>
          <w:rFonts w:ascii="Times New Roman" w:eastAsia="Times New Roman" w:hAnsi="Times New Roman" w:cs="Times New Roman"/>
          <w:b/>
          <w:bCs/>
          <w:i/>
          <w:iCs/>
          <w:cap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i/>
          <w:iCs/>
          <w:cap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aps/>
          <w:color w:val="FF0000"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caps/>
          <w:color w:val="000000"/>
          <w:sz w:val="24"/>
          <w:szCs w:val="24"/>
        </w:rPr>
        <w:t xml:space="preserve">                         </w:t>
      </w:r>
    </w:p>
    <w:p w14:paraId="47999BEC" w14:textId="77777777" w:rsidR="007710EE" w:rsidRDefault="005D546E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Татарский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государственный </w:t>
      </w:r>
    </w:p>
    <w:p w14:paraId="6AFF7E54" w14:textId="77777777" w:rsidR="007710EE" w:rsidRDefault="005D546E">
      <w:pPr>
        <w:spacing w:after="0"/>
        <w:ind w:firstLine="709"/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гуманитарный институт</w:t>
      </w:r>
    </w:p>
    <w:p w14:paraId="669E554C" w14:textId="77777777" w:rsidR="007710EE" w:rsidRDefault="005D546E">
      <w:pPr>
        <w:spacing w:after="0"/>
        <w:ind w:firstLine="709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(г. Казань, Россия)</w:t>
      </w:r>
    </w:p>
    <w:p w14:paraId="633B3D51" w14:textId="77777777" w:rsidR="007710EE" w:rsidRDefault="007710EE">
      <w:pPr>
        <w:spacing w:after="0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2AC3E2A" w14:textId="77777777" w:rsidR="007710EE" w:rsidRDefault="005D546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iCs/>
          <w: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Cs/>
          <w:caps/>
          <w:color w:val="000000"/>
          <w:sz w:val="24"/>
          <w:szCs w:val="24"/>
        </w:rPr>
        <w:t>Патриарх социоестественной истории</w:t>
      </w:r>
    </w:p>
    <w:p w14:paraId="54D9C71E" w14:textId="77777777" w:rsidR="007710EE" w:rsidRDefault="007710E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B8BF76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Аннотация.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Статья посвящена жизненному пути… </w:t>
      </w:r>
    </w:p>
    <w:p w14:paraId="6795EB7B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Ключевые слова: </w:t>
      </w:r>
      <w:r>
        <w:rPr>
          <w:rFonts w:ascii="Times New Roman" w:eastAsia="Times New Roman" w:hAnsi="Times New Roman" w:cs="Times New Roman"/>
          <w:sz w:val="24"/>
          <w:szCs w:val="24"/>
        </w:rPr>
        <w:t>социоестественная история, человек и природа, татары, Золотая Орда, славяно-тюркский суперэтнос, история татар.</w:t>
      </w:r>
    </w:p>
    <w:p w14:paraId="7D77B0CF" w14:textId="77777777" w:rsidR="007710EE" w:rsidRDefault="007710E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3C70150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Текст статьи</w:t>
      </w:r>
    </w:p>
    <w:p w14:paraId="348A4DAE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2008 году, Московское издательство «Инсан» выпустило монографию Э. С. Кульпина-Губайдуллина «Золотая Орда: Судьбы поколений» [4, с. 195].</w:t>
      </w:r>
    </w:p>
    <w:p w14:paraId="38D2CA2D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&lt;…&gt;</w:t>
      </w:r>
    </w:p>
    <w:p w14:paraId="09A30282" w14:textId="77777777" w:rsidR="007710EE" w:rsidRDefault="005D546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Источники и литература</w:t>
      </w:r>
    </w:p>
    <w:p w14:paraId="4DA3E6C1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1. Буддийский культовый центр в Старом Термезе.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М. : Наука, 1972.  208 с. </w:t>
      </w:r>
    </w:p>
    <w:p w14:paraId="23D8566D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2. Бурханов А. А.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Древний Лебап. Часть 2. Культура поселений области 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Амуля.  Казань, 2005. 180 с.</w:t>
      </w:r>
    </w:p>
    <w:p w14:paraId="3D78650C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3. Кабанов С. К. Археологические раскопки на Шор-депе близ Карши //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Известия АН УзбССР.  №1. Ташкент, 1954. С. 82-94.</w:t>
      </w:r>
    </w:p>
    <w:p w14:paraId="4EC941D8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Кульпин Э. С.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Золотая Орда: судьбы поколений.  М. : ИНСАН, 2008. 198 с.</w:t>
      </w:r>
    </w:p>
    <w:p w14:paraId="19EFD60F" w14:textId="77777777" w:rsidR="007710EE" w:rsidRDefault="005D546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5. Центральный государственный архив историко-политической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документации Республики Татарстан (ЦГАИПДРТ). – Ф. 8253, оп. 1.</w:t>
      </w:r>
    </w:p>
    <w:p w14:paraId="20F3C814" w14:textId="77777777" w:rsidR="007710EE" w:rsidRDefault="007710E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34F7DCF" w14:textId="77777777" w:rsidR="007710EE" w:rsidRDefault="005D546E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  <w:t>A. A. Burkhanov</w:t>
      </w:r>
    </w:p>
    <w:p w14:paraId="5B9A402B" w14:textId="77777777" w:rsidR="007710EE" w:rsidRDefault="005D546E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Tatar state humanitarian Institute </w:t>
      </w:r>
    </w:p>
    <w:p w14:paraId="479CA6E2" w14:textId="77777777" w:rsidR="007710EE" w:rsidRDefault="005D546E">
      <w:pPr>
        <w:spacing w:after="0"/>
        <w:ind w:firstLine="709"/>
        <w:jc w:val="right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en-US"/>
        </w:rPr>
        <w:t>(Kazan,  Russia)</w:t>
      </w:r>
    </w:p>
    <w:p w14:paraId="5FBB1034" w14:textId="77777777" w:rsidR="007710EE" w:rsidRDefault="007710EE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i/>
          <w:iCs/>
          <w:color w:val="FF0000"/>
          <w:sz w:val="24"/>
          <w:szCs w:val="24"/>
          <w:lang w:val="en-US"/>
        </w:rPr>
      </w:pPr>
    </w:p>
    <w:p w14:paraId="26698E82" w14:textId="77777777" w:rsidR="007710EE" w:rsidRDefault="005D546E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PATRIARCH NATURAL STORIES</w:t>
      </w:r>
    </w:p>
    <w:p w14:paraId="3A8CCF1E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6F28D16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Summary.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The article is devoted to the life and scientific work… </w:t>
      </w:r>
    </w:p>
    <w:p w14:paraId="621B6101" w14:textId="77777777" w:rsidR="007710EE" w:rsidRDefault="005D546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Keywords: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natural history, man and nature, the tatars, the Golden Horde, the Slavo-Turkic superethnos, history of the Tatars.</w:t>
      </w:r>
    </w:p>
    <w:p w14:paraId="4F653F4D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7A3A41F0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280093A4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2CD35E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07B5A05B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DD5896A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40596D9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578FFE3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FD875F" w14:textId="77777777" w:rsidR="007710EE" w:rsidRDefault="005D546E">
      <w:pPr>
        <w:spacing w:after="0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14:paraId="123F3489" w14:textId="77777777" w:rsidR="007710EE" w:rsidRDefault="007710EE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DCF2A43" w14:textId="77777777" w:rsidR="007710EE" w:rsidRDefault="005D546E">
      <w:pPr>
        <w:spacing w:after="0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Форма заявки на участие </w:t>
      </w:r>
      <w:r>
        <w:rPr>
          <w:rFonts w:ascii="Times New Roman" w:hAnsi="Times New Roman" w:cs="Times New Roman"/>
          <w:sz w:val="24"/>
          <w:szCs w:val="24"/>
        </w:rPr>
        <w:t xml:space="preserve">в Международной  научно-практической конференции </w:t>
      </w:r>
      <w:r>
        <w:rPr>
          <w:rFonts w:ascii="Times New Roman" w:hAnsi="Times New Roman" w:cs="Times New Roman"/>
          <w:b/>
          <w:sz w:val="24"/>
          <w:szCs w:val="24"/>
        </w:rPr>
        <w:t>«Языки культуры в контексте исторического наследия: к 100-летию со дня рождения Э. Р. Тенишева»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710EE" w:rsidRPr="00242500" w14:paraId="04F56645" w14:textId="77777777" w:rsidTr="00242500">
        <w:tc>
          <w:tcPr>
            <w:tcW w:w="9571" w:type="dxa"/>
            <w:gridSpan w:val="2"/>
            <w:shd w:val="clear" w:color="auto" w:fill="auto"/>
          </w:tcPr>
          <w:p w14:paraId="2F95128D" w14:textId="77777777" w:rsidR="007710EE" w:rsidRPr="00242500" w:rsidRDefault="005D546E" w:rsidP="002425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об участнике конференции</w:t>
            </w:r>
          </w:p>
        </w:tc>
      </w:tr>
      <w:tr w:rsidR="007710EE" w:rsidRPr="00242500" w14:paraId="5F989193" w14:textId="77777777" w:rsidTr="00242500">
        <w:tc>
          <w:tcPr>
            <w:tcW w:w="4785" w:type="dxa"/>
            <w:shd w:val="clear" w:color="auto" w:fill="auto"/>
          </w:tcPr>
          <w:p w14:paraId="55611DA3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786" w:type="dxa"/>
            <w:shd w:val="clear" w:color="auto" w:fill="auto"/>
          </w:tcPr>
          <w:p w14:paraId="09BAD561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6AE98766" w14:textId="77777777" w:rsidTr="00242500">
        <w:tc>
          <w:tcPr>
            <w:tcW w:w="4785" w:type="dxa"/>
            <w:shd w:val="clear" w:color="auto" w:fill="auto"/>
          </w:tcPr>
          <w:p w14:paraId="7B159C1A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Ученая степень, звание, должность</w:t>
            </w:r>
          </w:p>
        </w:tc>
        <w:tc>
          <w:tcPr>
            <w:tcW w:w="4786" w:type="dxa"/>
            <w:shd w:val="clear" w:color="auto" w:fill="auto"/>
          </w:tcPr>
          <w:p w14:paraId="07127A46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66229609" w14:textId="77777777" w:rsidTr="00242500">
        <w:tc>
          <w:tcPr>
            <w:tcW w:w="4785" w:type="dxa"/>
            <w:shd w:val="clear" w:color="auto" w:fill="auto"/>
          </w:tcPr>
          <w:p w14:paraId="1BFC4832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Место работы  ( полностью)</w:t>
            </w:r>
          </w:p>
        </w:tc>
        <w:tc>
          <w:tcPr>
            <w:tcW w:w="4786" w:type="dxa"/>
            <w:shd w:val="clear" w:color="auto" w:fill="auto"/>
          </w:tcPr>
          <w:p w14:paraId="386A6E9F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1FA408E9" w14:textId="77777777" w:rsidTr="00242500">
        <w:tc>
          <w:tcPr>
            <w:tcW w:w="4785" w:type="dxa"/>
            <w:shd w:val="clear" w:color="auto" w:fill="auto"/>
          </w:tcPr>
          <w:p w14:paraId="57E2D406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Контактный  телефон (с указанием кода для нефедеральных номеров)</w:t>
            </w:r>
          </w:p>
        </w:tc>
        <w:tc>
          <w:tcPr>
            <w:tcW w:w="4786" w:type="dxa"/>
            <w:shd w:val="clear" w:color="auto" w:fill="auto"/>
          </w:tcPr>
          <w:p w14:paraId="33ECD494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7B784666" w14:textId="77777777" w:rsidTr="00242500">
        <w:tc>
          <w:tcPr>
            <w:tcW w:w="4785" w:type="dxa"/>
            <w:shd w:val="clear" w:color="auto" w:fill="auto"/>
          </w:tcPr>
          <w:p w14:paraId="72F68FA2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Е-</w:t>
            </w:r>
            <w:r w:rsidRPr="00242500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mail</w:t>
            </w:r>
          </w:p>
        </w:tc>
        <w:tc>
          <w:tcPr>
            <w:tcW w:w="4786" w:type="dxa"/>
            <w:shd w:val="clear" w:color="auto" w:fill="auto"/>
          </w:tcPr>
          <w:p w14:paraId="77F13482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3A77AEC9" w14:textId="77777777" w:rsidTr="00242500">
        <w:tc>
          <w:tcPr>
            <w:tcW w:w="4785" w:type="dxa"/>
            <w:shd w:val="clear" w:color="auto" w:fill="auto"/>
          </w:tcPr>
          <w:p w14:paraId="5031BBE7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Форма участия (очная, заочная)</w:t>
            </w:r>
          </w:p>
        </w:tc>
        <w:tc>
          <w:tcPr>
            <w:tcW w:w="4786" w:type="dxa"/>
            <w:shd w:val="clear" w:color="auto" w:fill="auto"/>
          </w:tcPr>
          <w:p w14:paraId="1F0268B5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7E3820AC" w14:textId="77777777" w:rsidTr="00242500">
        <w:tc>
          <w:tcPr>
            <w:tcW w:w="4785" w:type="dxa"/>
            <w:shd w:val="clear" w:color="auto" w:fill="auto"/>
          </w:tcPr>
          <w:p w14:paraId="1C79365B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Необходимость бронирования места в гостинице</w:t>
            </w:r>
          </w:p>
        </w:tc>
        <w:tc>
          <w:tcPr>
            <w:tcW w:w="4786" w:type="dxa"/>
            <w:shd w:val="clear" w:color="auto" w:fill="auto"/>
          </w:tcPr>
          <w:p w14:paraId="7126F2A9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21751528" w14:textId="77777777" w:rsidTr="00242500">
        <w:tc>
          <w:tcPr>
            <w:tcW w:w="9571" w:type="dxa"/>
            <w:gridSpan w:val="2"/>
            <w:shd w:val="clear" w:color="auto" w:fill="auto"/>
          </w:tcPr>
          <w:p w14:paraId="4A4A5A40" w14:textId="77777777" w:rsidR="007710EE" w:rsidRPr="00242500" w:rsidRDefault="005D546E" w:rsidP="002425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24250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Сведения о докладе на конференцию</w:t>
            </w:r>
          </w:p>
        </w:tc>
      </w:tr>
      <w:tr w:rsidR="007710EE" w:rsidRPr="00242500" w14:paraId="1B639D56" w14:textId="77777777" w:rsidTr="00242500">
        <w:tc>
          <w:tcPr>
            <w:tcW w:w="4785" w:type="dxa"/>
            <w:shd w:val="clear" w:color="auto" w:fill="auto"/>
          </w:tcPr>
          <w:p w14:paraId="23B95315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>Тема доклада</w:t>
            </w:r>
          </w:p>
        </w:tc>
        <w:tc>
          <w:tcPr>
            <w:tcW w:w="4786" w:type="dxa"/>
            <w:shd w:val="clear" w:color="auto" w:fill="auto"/>
          </w:tcPr>
          <w:p w14:paraId="17B52546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710EE" w:rsidRPr="00242500" w14:paraId="3EA588C3" w14:textId="77777777" w:rsidTr="00242500">
        <w:tc>
          <w:tcPr>
            <w:tcW w:w="4785" w:type="dxa"/>
            <w:shd w:val="clear" w:color="auto" w:fill="auto"/>
          </w:tcPr>
          <w:p w14:paraId="5797BAD7" w14:textId="77777777" w:rsidR="007710EE" w:rsidRPr="00242500" w:rsidRDefault="005D546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250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Предполагаемое направление работы конференции </w:t>
            </w:r>
          </w:p>
        </w:tc>
        <w:tc>
          <w:tcPr>
            <w:tcW w:w="4786" w:type="dxa"/>
            <w:shd w:val="clear" w:color="auto" w:fill="auto"/>
          </w:tcPr>
          <w:p w14:paraId="72E7B8B2" w14:textId="77777777" w:rsidR="007710EE" w:rsidRPr="00242500" w:rsidRDefault="007710EE" w:rsidP="0024250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7C83AB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14:paraId="16D4275E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14:paraId="63F6F885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14A8E913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2F0240D1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047D4D46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560A2482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5E278443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2D09F3E7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71DEBE88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09404A8A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02784F9A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5C9274A6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7991FCDD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709EA517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11305879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06BEC9D7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6051F334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42EBF146" w14:textId="77777777" w:rsidR="007710EE" w:rsidRDefault="007710EE">
      <w:pPr>
        <w:spacing w:after="0"/>
        <w:ind w:firstLine="709"/>
        <w:jc w:val="both"/>
        <w:rPr>
          <w:rFonts w:ascii="Times New Roman" w:eastAsia="Calibri" w:hAnsi="Times New Roman" w:cs="Times New Roman"/>
          <w:b/>
          <w:color w:val="C0504D"/>
          <w:sz w:val="24"/>
          <w:szCs w:val="24"/>
          <w:u w:val="single"/>
          <w:shd w:val="clear" w:color="auto" w:fill="FFFFFF"/>
        </w:rPr>
      </w:pPr>
    </w:p>
    <w:p w14:paraId="7093ED08" w14:textId="77777777" w:rsidR="007710EE" w:rsidRDefault="007710EE"/>
    <w:sectPr w:rsidR="007710EE">
      <w:footerReference w:type="default" r:id="rId8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C4092F" w14:textId="77777777" w:rsidR="00611E44" w:rsidRDefault="00611E44">
      <w:pPr>
        <w:spacing w:after="0" w:line="240" w:lineRule="auto"/>
      </w:pPr>
      <w:r>
        <w:separator/>
      </w:r>
    </w:p>
  </w:endnote>
  <w:endnote w:type="continuationSeparator" w:id="0">
    <w:p w14:paraId="3FE8C6A5" w14:textId="77777777" w:rsidR="00611E44" w:rsidRDefault="00611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altName w:val="Aria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4BD58" w14:textId="468702F1" w:rsidR="007710EE" w:rsidRDefault="005D546E">
    <w:pPr>
      <w:pStyle w:val="a4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6A710F">
      <w:rPr>
        <w:noProof/>
      </w:rPr>
      <w:t>4</w:t>
    </w:r>
    <w:r>
      <w:rPr>
        <w:noProof/>
      </w:rPr>
      <w:fldChar w:fldCharType="end"/>
    </w:r>
  </w:p>
  <w:p w14:paraId="5850ADA3" w14:textId="77777777" w:rsidR="007710EE" w:rsidRDefault="007710E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E30A8" w14:textId="77777777" w:rsidR="00611E44" w:rsidRDefault="00611E44">
      <w:pPr>
        <w:spacing w:after="0" w:line="240" w:lineRule="auto"/>
      </w:pPr>
      <w:r>
        <w:separator/>
      </w:r>
    </w:p>
  </w:footnote>
  <w:footnote w:type="continuationSeparator" w:id="0">
    <w:p w14:paraId="01D102D6" w14:textId="77777777" w:rsidR="00611E44" w:rsidRDefault="00611E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removePersonalInformation/>
  <w:hideGrammaticalErrors/>
  <w:defaultTabStop w:val="708"/>
  <w:drawingGridHorizontalSpacing w:val="1000"/>
  <w:drawingGridVerticalSpacing w:val="100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0EE"/>
    <w:rsid w:val="00200CD7"/>
    <w:rsid w:val="00242500"/>
    <w:rsid w:val="003D2E54"/>
    <w:rsid w:val="005D546E"/>
    <w:rsid w:val="00611E44"/>
    <w:rsid w:val="006A710F"/>
    <w:rsid w:val="00743287"/>
    <w:rsid w:val="007479E2"/>
    <w:rsid w:val="007710EE"/>
    <w:rsid w:val="0091576D"/>
    <w:rsid w:val="00934C02"/>
    <w:rsid w:val="009A701D"/>
    <w:rsid w:val="00E20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ru-R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D86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eastAsia="Malgun Gothic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eastAsia="Malgun Goth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qFormat/>
    <w:rPr>
      <w:sz w:val="22"/>
      <w:szCs w:val="22"/>
      <w:lang w:eastAsia="en-US"/>
    </w:rPr>
  </w:style>
  <w:style w:type="character" w:styleId="a6">
    <w:name w:val="Strong"/>
    <w:qFormat/>
    <w:rPr>
      <w:b/>
      <w:bCs/>
    </w:rPr>
  </w:style>
  <w:style w:type="character" w:styleId="a7">
    <w:name w:val="Hyperlink"/>
    <w:unhideWhenUsed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webSettings" Target="webSettings.xml" /><Relationship Id="rId7" Type="http://schemas.openxmlformats.org/officeDocument/2006/relationships/hyperlink" Target="mailto:tenishev100@yandex.ru" TargetMode="Externa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yperlink" Target="mailto:tenishev100@yandex.ru" TargetMode="External" /><Relationship Id="rId5" Type="http://schemas.openxmlformats.org/officeDocument/2006/relationships/endnotes" Target="endnotes.xml" /><Relationship Id="rId10" Type="http://schemas.openxmlformats.org/officeDocument/2006/relationships/theme" Target="theme/theme1.xml" /><Relationship Id="rId4" Type="http://schemas.openxmlformats.org/officeDocument/2006/relationships/footnotes" Target="footnote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1079</Words>
  <Characters>6154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2021-02-09T10:53:00Z</dcterms:created>
  <dcterms:modified xsi:type="dcterms:W3CDTF">2021-02-09T10:53:00Z</dcterms:modified>
  <cp:version>0900.0000.01</cp:version>
</cp:coreProperties>
</file>